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1"/>
        <w:numPr>
          <w:ilvl w:val="0"/>
          <w:numId w:val="0"/>
        </w:numPr>
        <w:jc w:val="right"/>
        <w:outlineLvl w:val="1"/>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Приложение 3</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 государственной программе</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«Комплексное развитие сельских</w:t>
      </w:r>
    </w:p>
    <w:p>
      <w:pPr>
        <w:pStyle w:val="ConsPlusNormal1"/>
        <w:jc w:val="right"/>
        <w:rPr>
          <w:rFonts w:ascii="Times New Roman" w:hAnsi="Times New Roman" w:cs="Times New Roman"/>
          <w:sz w:val="28"/>
          <w:szCs w:val="28"/>
        </w:rPr>
      </w:pPr>
      <w:r>
        <w:rPr>
          <w:rFonts w:cs="Times New Roman" w:ascii="Times New Roman" w:hAnsi="Times New Roman"/>
          <w:sz w:val="28"/>
          <w:szCs w:val="28"/>
        </w:rPr>
        <w:t>территорий Брянской области»</w:t>
      </w:r>
    </w:p>
    <w:p>
      <w:pPr>
        <w:pStyle w:val="ConsPlusNormal1"/>
        <w:jc w:val="both"/>
        <w:rPr>
          <w:sz w:val="28"/>
          <w:szCs w:val="28"/>
        </w:rPr>
      </w:pPr>
      <w:r>
        <w:rPr>
          <w:sz w:val="28"/>
          <w:szCs w:val="28"/>
        </w:rPr>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Порядок</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предоставления субсидий бюджетам муниципальных образований</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Брянской области на обустройство объектами инженерной</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инфраструктуры и благоустройство площадок, расположенных</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на сельских территориях, под компактную жилищную застройку в рамках регионального проекта «Развитие жилищного строительства на сельских территориях и повышение уровня благоустройства домовладений» подпрограммы «С</w:t>
      </w:r>
      <w:bookmarkStart w:id="0" w:name="_GoBack"/>
      <w:bookmarkEnd w:id="0"/>
      <w:r>
        <w:rPr>
          <w:rFonts w:cs="Times New Roman" w:ascii="Times New Roman" w:hAnsi="Times New Roman"/>
          <w:b w:val="false"/>
          <w:sz w:val="28"/>
          <w:szCs w:val="28"/>
        </w:rPr>
        <w:t>оздание условий для обеспечения доступным и комфортным жильем сельского населения» государственной программы «Комплексное развитие сельских территорий Брянской области»</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субсидии), а также критерии отбора муниципальных образований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Под сельскими территориями в настоящем Порядке понимаются: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рабочие поселки, наделенные статусом городских поселений;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 Субсидии предоставляются в целях софинансирования расходных обязательств муниципальных образований Брянской области, возникающих в связи с реализацией муниципальных программ, предусматривающих мероприятия по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(далее - проекты компактной жилищной застройки), в рамках которых осуществляются: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 строительство объектов инженерной инфраструктуры;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б) организация уличного освещения, строительство улично-дорожной сети, а также благоустройство территории (в том числе озеленение).</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Предельные значения стоимости и количества проектов компактной жилищной застройки для предоставления субсидий утверждаются нормативным правовым актом Министерства сельского хозяйства Российской Федерации (далее - Министерство).</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3. Главным распорядителем средств областного бюджета вышеуказанных расходов является департамент сельского хозяйства Брянской области.</w:t>
      </w:r>
    </w:p>
    <w:p>
      <w:pPr>
        <w:pStyle w:val="ConsPlusNormal1"/>
        <w:ind w:firstLine="540"/>
        <w:jc w:val="both"/>
        <w:rPr>
          <w:rFonts w:ascii="Times New Roman" w:hAnsi="Times New Roman" w:cs="Times New Roman"/>
          <w:sz w:val="28"/>
          <w:szCs w:val="28"/>
        </w:rPr>
      </w:pPr>
      <w:bookmarkStart w:id="1" w:name="P2990"/>
      <w:bookmarkEnd w:id="1"/>
      <w:r>
        <w:rPr>
          <w:rFonts w:cs="Times New Roman" w:ascii="Times New Roman" w:hAnsi="Times New Roman"/>
          <w:sz w:val="28"/>
          <w:szCs w:val="28"/>
        </w:rPr>
        <w:t>4. Субсидия предоставляется при соблюдении следующих условий: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 наличие муниципальной программы, предусматривающей мероприятие по реализации проектов компактной жилищной застройки;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заключение соглашения департаментом сельского хозяйства Брянской области с органом местного самоуправления муниципального образования Брянской области о предоставлении субсидии (далее - соглашение о предоставлении субсидии) в соответствии с </w:t>
      </w:r>
      <w:hyperlink r:id="rId2">
        <w:r>
          <w:rPr>
            <w:rFonts w:cs="Times New Roman" w:ascii="Times New Roman" w:hAnsi="Times New Roman"/>
            <w:color w:val="000000" w:themeColor="text1"/>
            <w:sz w:val="28"/>
            <w:szCs w:val="28"/>
          </w:rPr>
          <w:t>пунктом 10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w:t>
      </w:r>
      <w:r>
        <w:rPr>
          <w:rFonts w:cs="Times New Roman" w:ascii="Times New Roman" w:hAnsi="Times New Roman"/>
          <w:color w:val="000000" w:themeColor="text1"/>
          <w:sz w:val="28"/>
          <w:szCs w:val="28"/>
        </w:rPr>
        <w:t>от 23 июля 2018 года №362-п «Об утверждении Правил формирования, предоставления и распределения субсидий из областного бюджета бюджетам муни</w:t>
      </w:r>
      <w:r>
        <w:rPr>
          <w:rFonts w:cs="Times New Roman" w:ascii="Times New Roman" w:hAnsi="Times New Roman"/>
          <w:sz w:val="28"/>
          <w:szCs w:val="28"/>
        </w:rPr>
        <w:t>ципальных образований Брянской области» (далее - Правила формирования, предоставления и распределения субсидий).</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5. Критериями отбора муниципальных образований Брянской области для предоставления субсидии являются:</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а) наличие реестра проектов компактной жилищной застройки, разработанных в соответствии с документами территориального планирования (далее - реестр проектов). В реестр проектов в первую очередь включаются проекты компактной жилищной застройки, начатые в предыдущие годы;</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наличие заявки на предоставление субсидии на очередной финансовый год и плановый период (далее - заявка на предоставление субсидии).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Рекомендуемые образцы заявки на предоставление субсидии и реестра проектов</w:t>
      </w:r>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размещаются на официальном сайте Министерства в информационно-телекоммуникационной сети «Интернет».</w:t>
      </w:r>
    </w:p>
    <w:p>
      <w:pPr>
        <w:pStyle w:val="ConsPlusNormal1"/>
        <w:ind w:firstLine="709"/>
        <w:jc w:val="both"/>
        <w:rPr>
          <w:rFonts w:ascii="Times New Roman" w:hAnsi="Times New Roman" w:cs="Times New Roman"/>
          <w:sz w:val="28"/>
          <w:szCs w:val="28"/>
        </w:rPr>
      </w:pPr>
      <w:bookmarkStart w:id="2" w:name="P2998"/>
      <w:bookmarkEnd w:id="2"/>
      <w:r>
        <w:rPr>
          <w:rFonts w:cs="Times New Roman" w:ascii="Times New Roman" w:hAnsi="Times New Roman"/>
          <w:sz w:val="28"/>
          <w:szCs w:val="28"/>
        </w:rPr>
        <w:t>6. Для осуществления детализации мероприятия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орган местного самоуправления муниципального образования Брянской области, ежегодно одновременно с заявкой на предоставление субсидии представляет в департамент сельского хозяйства Брянской области в устанавливаемые им сроки следующие документы:</w:t>
      </w:r>
    </w:p>
    <w:p>
      <w:pPr>
        <w:pStyle w:val="ConsPlusNormal1"/>
        <w:ind w:firstLine="709"/>
        <w:jc w:val="both"/>
        <w:rPr>
          <w:rFonts w:ascii="Times New Roman" w:hAnsi="Times New Roman" w:cs="Times New Roman"/>
          <w:sz w:val="28"/>
          <w:szCs w:val="28"/>
        </w:rPr>
      </w:pPr>
      <w:bookmarkStart w:id="3" w:name="P2999"/>
      <w:bookmarkEnd w:id="3"/>
      <w:r>
        <w:rPr>
          <w:rFonts w:cs="Times New Roman" w:ascii="Times New Roman" w:hAnsi="Times New Roman"/>
          <w:sz w:val="28"/>
          <w:szCs w:val="28"/>
        </w:rPr>
        <w:t>а) реестр проектов;</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информация о выполнении условий предоставления и расходования субсидий;</w:t>
      </w:r>
    </w:p>
    <w:p>
      <w:pPr>
        <w:pStyle w:val="ConsPlusNormal1"/>
        <w:ind w:firstLine="709"/>
        <w:jc w:val="both"/>
        <w:rPr>
          <w:rFonts w:ascii="Times New Roman" w:hAnsi="Times New Roman" w:cs="Times New Roman"/>
          <w:sz w:val="28"/>
          <w:szCs w:val="28"/>
        </w:rPr>
      </w:pPr>
      <w:bookmarkStart w:id="4" w:name="P3005"/>
      <w:bookmarkEnd w:id="4"/>
      <w:r>
        <w:rPr>
          <w:rFonts w:cs="Times New Roman" w:ascii="Times New Roman" w:hAnsi="Times New Roman"/>
          <w:sz w:val="28"/>
          <w:szCs w:val="28"/>
        </w:rPr>
        <w:t>в) паспорта проектов компактной жилищной застройки;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г) копии сводных сметных расчетов стоимости строительства объектов, входящих в состав проектов компактной жилищной застройки, и документов об утверждении проектно-сметной документации;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д) копии положительных заключений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положительных заключения о достоверности определения сметной стоимости объекта строительства.</w:t>
      </w:r>
    </w:p>
    <w:p>
      <w:pPr>
        <w:pStyle w:val="ConsPlusNormal1"/>
        <w:ind w:firstLine="540"/>
        <w:jc w:val="both"/>
        <w:rPr>
          <w:rFonts w:ascii="Times New Roman" w:hAnsi="Times New Roman" w:cs="Times New Roman"/>
          <w:color w:val="000000" w:themeColor="text1"/>
          <w:sz w:val="28"/>
          <w:szCs w:val="28"/>
        </w:rPr>
      </w:pPr>
      <w:r>
        <w:rPr>
          <w:rFonts w:cs="Times New Roman" w:ascii="Times New Roman" w:hAnsi="Times New Roman"/>
          <w:sz w:val="28"/>
          <w:szCs w:val="28"/>
        </w:rPr>
        <w:t xml:space="preserve">Документы, указанные в </w:t>
      </w:r>
      <w:r>
        <w:rPr>
          <w:rFonts w:cs="Times New Roman" w:ascii="Times New Roman" w:hAnsi="Times New Roman"/>
          <w:color w:val="000000" w:themeColor="text1"/>
          <w:sz w:val="28"/>
          <w:szCs w:val="28"/>
        </w:rPr>
        <w:t>подпунктах «б», «в» настоящего пункта, оформляются и представляются по форме, устанавливаемой Министерством.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7. Уровень софинансирования из областного бюджета расходного обязательства муниципального образования Брянской области в соответствующем году, возникшего при реализации проекта компактной жилищной застройки, устанавливается в соответствии с нормативным правовым актом Правительства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8. Размер субсидии, предоставляемой бюджету i-го муниципального образования Брянской области на соответствующий финансовый год (Si), определяется по формуле:</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r>
        <w:rPr/>
        <w:drawing>
          <wp:inline distT="0" distB="0" distL="0" distR="0">
            <wp:extent cx="1371600" cy="457200"/>
            <wp:effectExtent l="0" t="0" r="0" b="0"/>
            <wp:docPr id="1" name="Рисунок 3" descr="base_23753_62678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base_23753_62678_32768"/>
                    <pic:cNvPicPr>
                      <a:picLocks noChangeAspect="1" noChangeArrowheads="1"/>
                    </pic:cNvPicPr>
                  </pic:nvPicPr>
                  <pic:blipFill>
                    <a:blip r:embed="rId3"/>
                    <a:stretch>
                      <a:fillRect/>
                    </a:stretch>
                  </pic:blipFill>
                  <pic:spPr bwMode="auto">
                    <a:xfrm>
                      <a:off x="0" y="0"/>
                      <a:ext cx="1371600" cy="457200"/>
                    </a:xfrm>
                    <a:prstGeom prst="rect">
                      <a:avLst/>
                    </a:prstGeom>
                  </pic:spPr>
                </pic:pic>
              </a:graphicData>
            </a:graphic>
          </wp:inline>
        </w:drawing>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Собл - объем средств областного бюджета, выделенного на реализацию проектов компактной жилищной застройки;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Хi - стоимость проекта компактной жилищной застройки i-го муниципального образования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 - общая стоимость проектов компактной жилищной застройки муниципальных образований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9. Распределение субсидий между муниципальными образованиями Брянской области устанавливается законом Брянской области об областном бюджете на соответствующий финансовый год и на плановый период.</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10. Предоставление субсидии осуществляется на основании соглашения о предоставлении субсидии.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из областного бюджета осуществляется на основании соглашения о предоставлении субсидии, подготавливаемого (формируемого) с применением государственной информационной системы управления государственными и муниципальными финансами Брянской области «Электронный бюджет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осуществляется на основании соглашения о предоставлении субсидии, подготавливаемого (формируемого) с применением государственной интегрированной информационной системы управления общественными финансами «Электронный бюджет».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11. Перечисление субсидий в бюджеты муниципальных образований Брянской области осуществляется в установленном Законом порядке и в пределах лимитов бюджетных обязательств, предусмотренных департаменту сельского хозяйства Брянской области,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12. В случае несоблюдения органом местного самоуправления муниципального образования Брянской области обязательств, предусмотренных соглашением о предоставлении субсидии, департамент сельского хозяйства Брянской области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pPr>
        <w:pStyle w:val="ConsPlusNormal1"/>
        <w:ind w:firstLine="540"/>
        <w:jc w:val="both"/>
        <w:rPr>
          <w:rFonts w:ascii="Times New Roman" w:hAnsi="Times New Roman" w:cs="Times New Roman"/>
          <w:color w:val="000000" w:themeColor="text1"/>
          <w:sz w:val="28"/>
          <w:szCs w:val="28"/>
        </w:rPr>
      </w:pPr>
      <w:r>
        <w:rPr>
          <w:rFonts w:cs="Times New Roman" w:ascii="Times New Roman" w:hAnsi="Times New Roman"/>
          <w:sz w:val="28"/>
          <w:szCs w:val="28"/>
        </w:rPr>
        <w:t xml:space="preserve">В случае не устранения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 а высвобождающиеся средства перераспределяются департаментом сельского хозяйства Брянской области между другими муниципальными образованиями Брянской области, имеющими право на получение субсидий в соответствии с </w:t>
      </w:r>
      <w:hyperlink w:anchor="P2990">
        <w:r>
          <w:rPr>
            <w:rFonts w:cs="Times New Roman" w:ascii="Times New Roman" w:hAnsi="Times New Roman"/>
            <w:color w:val="000000" w:themeColor="text1"/>
            <w:sz w:val="28"/>
            <w:szCs w:val="28"/>
          </w:rPr>
          <w:t>пунктами 4</w:t>
        </w:r>
      </w:hyperlink>
      <w:r>
        <w:rPr>
          <w:rFonts w:cs="Times New Roman" w:ascii="Times New Roman" w:hAnsi="Times New Roman"/>
          <w:color w:val="000000" w:themeColor="text1"/>
          <w:sz w:val="28"/>
          <w:szCs w:val="28"/>
        </w:rPr>
        <w:t xml:space="preserve"> - </w:t>
      </w:r>
      <w:hyperlink w:anchor="P2998">
        <w:r>
          <w:rPr>
            <w:rFonts w:cs="Times New Roman" w:ascii="Times New Roman" w:hAnsi="Times New Roman"/>
            <w:color w:val="000000" w:themeColor="text1"/>
            <w:sz w:val="28"/>
            <w:szCs w:val="28"/>
          </w:rPr>
          <w:t>6</w:t>
        </w:r>
      </w:hyperlink>
      <w:r>
        <w:rPr>
          <w:rFonts w:cs="Times New Roman" w:ascii="Times New Roman" w:hAnsi="Times New Roman"/>
          <w:color w:val="000000" w:themeColor="text1"/>
          <w:sz w:val="28"/>
          <w:szCs w:val="28"/>
        </w:rPr>
        <w:t xml:space="preserve"> настоящего Порядка.</w:t>
      </w:r>
    </w:p>
    <w:p>
      <w:pPr>
        <w:pStyle w:val="ConsPlusNormal1"/>
        <w:ind w:firstLine="540"/>
        <w:jc w:val="both"/>
        <w:rPr>
          <w:rFonts w:ascii="Times New Roman" w:hAnsi="Times New Roman" w:cs="Times New Roman"/>
          <w:sz w:val="28"/>
          <w:szCs w:val="28"/>
        </w:rPr>
      </w:pPr>
      <w:r>
        <w:rPr>
          <w:rFonts w:cs="Times New Roman" w:ascii="Times New Roman" w:hAnsi="Times New Roman"/>
          <w:color w:val="000000" w:themeColor="text1"/>
          <w:sz w:val="28"/>
          <w:szCs w:val="28"/>
        </w:rPr>
        <w:t xml:space="preserve">13. Внесение изменений в распределение субсидий осуществляется в соответствии со </w:t>
      </w:r>
      <w:hyperlink r:id="rId4">
        <w:r>
          <w:rPr>
            <w:rFonts w:cs="Times New Roman" w:ascii="Times New Roman" w:hAnsi="Times New Roman"/>
            <w:color w:val="000000" w:themeColor="text1"/>
            <w:sz w:val="28"/>
            <w:szCs w:val="28"/>
          </w:rPr>
          <w:t>статьей 13</w:t>
        </w:r>
      </w:hyperlink>
      <w:r>
        <w:rPr>
          <w:rFonts w:cs="Times New Roman" w:ascii="Times New Roman" w:hAnsi="Times New Roman"/>
          <w:color w:val="000000" w:themeColor="text1"/>
          <w:sz w:val="28"/>
          <w:szCs w:val="28"/>
        </w:rPr>
        <w:t xml:space="preserve"> Зак</w:t>
      </w:r>
      <w:r>
        <w:rPr>
          <w:rFonts w:cs="Times New Roman" w:ascii="Times New Roman" w:hAnsi="Times New Roman"/>
          <w:sz w:val="28"/>
          <w:szCs w:val="28"/>
        </w:rPr>
        <w:t>она Брянской области от 2 ноября 2016 года №89-З «О межбюджетных отношениях в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14.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pPr>
        <w:pStyle w:val="ConsPlusNormal1"/>
        <w:ind w:firstLine="540"/>
        <w:jc w:val="both"/>
        <w:rPr>
          <w:rFonts w:ascii="Times New Roman" w:hAnsi="Times New Roman" w:cs="Times New Roman"/>
          <w:sz w:val="28"/>
          <w:szCs w:val="28"/>
        </w:rPr>
      </w:pPr>
      <w:bookmarkStart w:id="5" w:name="P3026"/>
      <w:bookmarkEnd w:id="5"/>
      <w:r>
        <w:rPr>
          <w:rFonts w:cs="Times New Roman" w:ascii="Times New Roman" w:hAnsi="Times New Roman"/>
          <w:sz w:val="28"/>
          <w:szCs w:val="28"/>
        </w:rPr>
        <w:t xml:space="preserve">15. 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о предоставлении субсидии в соответствии </w:t>
      </w:r>
      <w:r>
        <w:rPr>
          <w:rFonts w:cs="Times New Roman" w:ascii="Times New Roman" w:hAnsi="Times New Roman"/>
          <w:color w:val="000000" w:themeColor="text1"/>
          <w:sz w:val="28"/>
          <w:szCs w:val="28"/>
        </w:rPr>
        <w:t xml:space="preserve">с </w:t>
      </w:r>
      <w:hyperlink r:id="rId5">
        <w:r>
          <w:rPr>
            <w:rFonts w:cs="Times New Roman" w:ascii="Times New Roman" w:hAnsi="Times New Roman"/>
            <w:color w:val="000000" w:themeColor="text1"/>
            <w:sz w:val="28"/>
            <w:szCs w:val="28"/>
          </w:rPr>
          <w:t>подпунктом «б» пункта 10</w:t>
        </w:r>
      </w:hyperlink>
      <w:r>
        <w:rPr>
          <w:rFonts w:cs="Times New Roman" w:ascii="Times New Roman" w:hAnsi="Times New Roman"/>
          <w:color w:val="000000" w:themeColor="text1"/>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о предоставлении субсидии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6">
        <w:r>
          <w:rPr>
            <w:rFonts w:cs="Times New Roman" w:ascii="Times New Roman" w:hAnsi="Times New Roman"/>
            <w:color w:val="000000" w:themeColor="text1"/>
            <w:sz w:val="28"/>
            <w:szCs w:val="28"/>
          </w:rPr>
          <w:t>пунктами 16</w:t>
        </w:r>
      </w:hyperlink>
      <w:r>
        <w:rPr>
          <w:rFonts w:cs="Times New Roman" w:ascii="Times New Roman" w:hAnsi="Times New Roman"/>
          <w:color w:val="000000" w:themeColor="text1"/>
          <w:sz w:val="28"/>
          <w:szCs w:val="28"/>
        </w:rPr>
        <w:t xml:space="preserve"> - </w:t>
      </w:r>
      <w:hyperlink r:id="rId7">
        <w:r>
          <w:rPr>
            <w:rFonts w:cs="Times New Roman" w:ascii="Times New Roman" w:hAnsi="Times New Roman"/>
            <w:color w:val="000000" w:themeColor="text1"/>
            <w:sz w:val="28"/>
            <w:szCs w:val="28"/>
          </w:rPr>
          <w:t>18</w:t>
        </w:r>
      </w:hyperlink>
      <w:r>
        <w:rPr>
          <w:rFonts w:cs="Times New Roman" w:ascii="Times New Roman" w:hAnsi="Times New Roman"/>
          <w:color w:val="000000" w:themeColor="text1"/>
          <w:sz w:val="28"/>
          <w:szCs w:val="28"/>
        </w:rPr>
        <w:t xml:space="preserve"> Правил формирования, предоставления </w:t>
      </w:r>
      <w:r>
        <w:rPr>
          <w:rFonts w:cs="Times New Roman" w:ascii="Times New Roman" w:hAnsi="Times New Roman"/>
          <w:sz w:val="28"/>
          <w:szCs w:val="28"/>
        </w:rPr>
        <w:t>и распределения субсидий.</w:t>
      </w:r>
    </w:p>
    <w:p>
      <w:pPr>
        <w:pStyle w:val="ConsPlusNormal1"/>
        <w:ind w:firstLine="540"/>
        <w:jc w:val="both"/>
        <w:rPr>
          <w:rFonts w:ascii="Times New Roman" w:hAnsi="Times New Roman" w:cs="Times New Roman"/>
          <w:sz w:val="28"/>
          <w:szCs w:val="28"/>
        </w:rPr>
      </w:pPr>
      <w:bookmarkStart w:id="6" w:name="P3028"/>
      <w:bookmarkEnd w:id="6"/>
      <w:r>
        <w:rPr>
          <w:rFonts w:cs="Times New Roman" w:ascii="Times New Roman" w:hAnsi="Times New Roman"/>
          <w:sz w:val="28"/>
          <w:szCs w:val="28"/>
        </w:rPr>
        <w:t xml:space="preserve">16. 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о предоставлении субсидии в соответствии с </w:t>
      </w:r>
      <w:hyperlink r:id="rId8">
        <w:r>
          <w:rPr>
            <w:rFonts w:cs="Times New Roman" w:ascii="Times New Roman" w:hAnsi="Times New Roman"/>
            <w:color w:val="000000" w:themeColor="text1"/>
            <w:sz w:val="28"/>
            <w:szCs w:val="28"/>
          </w:rPr>
          <w:t>подпунктом «в» пункта 10</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 xml:space="preserve">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9">
        <w:r>
          <w:rPr>
            <w:rFonts w:cs="Times New Roman" w:ascii="Times New Roman" w:hAnsi="Times New Roman"/>
            <w:color w:val="000000" w:themeColor="text1"/>
            <w:sz w:val="28"/>
            <w:szCs w:val="28"/>
          </w:rPr>
          <w:t>абзацем седьмым пункта 20</w:t>
        </w:r>
      </w:hyperlink>
      <w:r>
        <w:rPr>
          <w:rFonts w:cs="Times New Roman" w:ascii="Times New Roman" w:hAnsi="Times New Roman"/>
          <w:sz w:val="28"/>
          <w:szCs w:val="28"/>
        </w:rPr>
        <w:t xml:space="preserve"> Правил формирования, предоставления и распределения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о предоставлении субсидий в соответствии с подпунктами «б», «в» пункта 10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w:t>
      </w:r>
      <w:r>
        <w:rPr>
          <w:rFonts w:cs="Times New Roman" w:ascii="Times New Roman" w:hAnsi="Times New Roman"/>
          <w:color w:val="000000" w:themeColor="text1"/>
          <w:sz w:val="28"/>
          <w:szCs w:val="28"/>
        </w:rPr>
        <w:t xml:space="preserve">соответствии с </w:t>
      </w:r>
      <w:hyperlink w:anchor="P3028">
        <w:r>
          <w:rPr>
            <w:rFonts w:cs="Times New Roman" w:ascii="Times New Roman" w:hAnsi="Times New Roman"/>
            <w:color w:val="000000" w:themeColor="text1"/>
            <w:sz w:val="28"/>
            <w:szCs w:val="28"/>
          </w:rPr>
          <w:t>абзацем первым</w:t>
        </w:r>
      </w:hyperlink>
      <w:r>
        <w:rPr>
          <w:rFonts w:cs="Times New Roman" w:ascii="Times New Roman" w:hAnsi="Times New Roman"/>
          <w:sz w:val="28"/>
          <w:szCs w:val="28"/>
        </w:rPr>
        <w:t xml:space="preserve"> настоящего пункта.</w:t>
      </w:r>
    </w:p>
    <w:p>
      <w:pPr>
        <w:pStyle w:val="ConsPlusNormal1"/>
        <w:ind w:firstLine="540"/>
        <w:jc w:val="both"/>
        <w:rPr>
          <w:rFonts w:ascii="Times New Roman" w:hAnsi="Times New Roman" w:cs="Times New Roman"/>
          <w:sz w:val="28"/>
          <w:szCs w:val="28"/>
        </w:rPr>
      </w:pPr>
      <w:bookmarkStart w:id="7" w:name="P3030"/>
      <w:bookmarkEnd w:id="7"/>
      <w:r>
        <w:rPr>
          <w:rFonts w:cs="Times New Roman" w:ascii="Times New Roman" w:hAnsi="Times New Roman"/>
          <w:sz w:val="28"/>
          <w:szCs w:val="28"/>
        </w:rPr>
        <w:t xml:space="preserve">17. Расчет объема средств, подлежащих возврату из бюджета муниципального образования Брянской области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о предоставлении субсидии в соответствии с </w:t>
      </w:r>
      <w:hyperlink r:id="rId10">
        <w:r>
          <w:rPr>
            <w:rFonts w:cs="Times New Roman" w:ascii="Times New Roman" w:hAnsi="Times New Roman"/>
            <w:color w:val="000000" w:themeColor="text1"/>
            <w:sz w:val="28"/>
            <w:szCs w:val="28"/>
          </w:rPr>
          <w:t>подпунктами «б</w:t>
        </w:r>
      </w:hyperlink>
      <w:r>
        <w:rPr>
          <w:rFonts w:cs="Times New Roman" w:ascii="Times New Roman" w:hAnsi="Times New Roman"/>
          <w:color w:val="000000" w:themeColor="text1"/>
          <w:sz w:val="28"/>
          <w:szCs w:val="28"/>
        </w:rPr>
        <w:t xml:space="preserve">» и </w:t>
      </w:r>
      <w:hyperlink r:id="rId11">
        <w:r>
          <w:rPr>
            <w:rFonts w:cs="Times New Roman" w:ascii="Times New Roman" w:hAnsi="Times New Roman"/>
            <w:color w:val="000000" w:themeColor="text1"/>
            <w:sz w:val="28"/>
            <w:szCs w:val="28"/>
          </w:rPr>
          <w:t>«в» пункта 10</w:t>
        </w:r>
      </w:hyperlink>
      <w:r>
        <w:rPr>
          <w:rFonts w:cs="Times New Roman" w:ascii="Times New Roman" w:hAnsi="Times New Roman"/>
          <w:sz w:val="28"/>
          <w:szCs w:val="28"/>
        </w:rPr>
        <w:t xml:space="preserve"> Правил формирования, предоставления и распределения субсидий, с учетом применения результата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w:t>
      </w:r>
      <w:r>
        <w:rPr>
          <w:rFonts w:cs="Times New Roman" w:ascii="Times New Roman" w:hAnsi="Times New Roman"/>
          <w:color w:val="000000" w:themeColor="text1"/>
          <w:sz w:val="28"/>
          <w:szCs w:val="28"/>
        </w:rPr>
        <w:t xml:space="preserve">соответствии с </w:t>
      </w:r>
      <w:hyperlink r:id="rId12">
        <w:r>
          <w:rPr>
            <w:rFonts w:cs="Times New Roman" w:ascii="Times New Roman" w:hAnsi="Times New Roman"/>
            <w:color w:val="000000" w:themeColor="text1"/>
            <w:sz w:val="28"/>
            <w:szCs w:val="28"/>
          </w:rPr>
          <w:t>пунктами 16</w:t>
        </w:r>
      </w:hyperlink>
      <w:r>
        <w:rPr>
          <w:rFonts w:cs="Times New Roman" w:ascii="Times New Roman" w:hAnsi="Times New Roman"/>
          <w:color w:val="000000" w:themeColor="text1"/>
          <w:sz w:val="28"/>
          <w:szCs w:val="28"/>
        </w:rPr>
        <w:t xml:space="preserve"> и (или) </w:t>
      </w:r>
      <w:hyperlink r:id="rId13">
        <w:r>
          <w:rPr>
            <w:rFonts w:cs="Times New Roman" w:ascii="Times New Roman" w:hAnsi="Times New Roman"/>
            <w:color w:val="000000" w:themeColor="text1"/>
            <w:sz w:val="28"/>
            <w:szCs w:val="28"/>
          </w:rPr>
          <w:t>19</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Правил формирования, предоставления и распределения субсидий, в отношении которых были допущены нарушения.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18. Основанием для освобождения муниципальных образований Брянской области от применения мер ответственности, предусмотренных </w:t>
      </w:r>
      <w:hyperlink w:anchor="P3026">
        <w:r>
          <w:rPr>
            <w:rFonts w:cs="Times New Roman" w:ascii="Times New Roman" w:hAnsi="Times New Roman"/>
            <w:sz w:val="28"/>
            <w:szCs w:val="28"/>
          </w:rPr>
          <w:t>пунктами 15</w:t>
        </w:r>
      </w:hyperlink>
      <w:r>
        <w:rPr>
          <w:rFonts w:cs="Times New Roman" w:ascii="Times New Roman" w:hAnsi="Times New Roman"/>
          <w:sz w:val="28"/>
          <w:szCs w:val="28"/>
        </w:rPr>
        <w:t xml:space="preserve"> - </w:t>
      </w:r>
      <w:hyperlink w:anchor="P3030">
        <w:r>
          <w:rPr>
            <w:rFonts w:cs="Times New Roman" w:ascii="Times New Roman" w:hAnsi="Times New Roman"/>
            <w:sz w:val="28"/>
            <w:szCs w:val="28"/>
          </w:rPr>
          <w:t>17</w:t>
        </w:r>
      </w:hyperlink>
      <w:r>
        <w:rPr>
          <w:rFonts w:cs="Times New Roman" w:ascii="Times New Roman" w:hAnsi="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4">
        <w:r>
          <w:rPr>
            <w:rFonts w:cs="Times New Roman" w:ascii="Times New Roman" w:hAnsi="Times New Roman"/>
            <w:sz w:val="28"/>
            <w:szCs w:val="28"/>
          </w:rPr>
          <w:t>пунктом 20</w:t>
        </w:r>
      </w:hyperlink>
      <w:r>
        <w:rPr>
          <w:rFonts w:cs="Times New Roman" w:ascii="Times New Roman" w:hAnsi="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19. Эффективность использования субсидии оценивается ежегодно на основе результатов использования субсидии - количество реализованных проектов компактной жилищной застройки.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20. Оценка эффективности использования субсидии осуществляется 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 о предоставлении субсидии.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21. Органы местного самоуправления муниципальных образований Брянской области предоставляют главному распорядителю бюджетных средств документы, подтверждающие расходы на выполнение строительно-монтажных работ и приобретению оборудования по объектам, входящим в состав проектов компактной жилищной застройки.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22. Органы местного самоуправления муниципальных образований Брянской области обеспечивают целевое и эффективное использование бюджетных средств. Департамент сельского хозяйства Брянской области осуществляет контроль за целевым использованием бюджетных средств.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23.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соответствии с </w:t>
      </w:r>
      <w:hyperlink w:anchor="P3026">
        <w:r>
          <w:rPr>
            <w:rFonts w:cs="Times New Roman" w:ascii="Times New Roman" w:hAnsi="Times New Roman"/>
            <w:color w:val="000000" w:themeColor="text1"/>
            <w:sz w:val="28"/>
            <w:szCs w:val="28"/>
          </w:rPr>
          <w:t>пунктами 15</w:t>
        </w:r>
      </w:hyperlink>
      <w:r>
        <w:rPr>
          <w:rFonts w:cs="Times New Roman" w:ascii="Times New Roman" w:hAnsi="Times New Roman"/>
          <w:color w:val="000000" w:themeColor="text1"/>
          <w:sz w:val="28"/>
          <w:szCs w:val="28"/>
        </w:rPr>
        <w:t xml:space="preserve"> - </w:t>
      </w:r>
      <w:hyperlink w:anchor="P3030">
        <w:r>
          <w:rPr>
            <w:rFonts w:cs="Times New Roman" w:ascii="Times New Roman" w:hAnsi="Times New Roman"/>
            <w:color w:val="000000" w:themeColor="text1"/>
            <w:sz w:val="28"/>
            <w:szCs w:val="28"/>
          </w:rPr>
          <w:t>17</w:t>
        </w:r>
      </w:hyperlink>
      <w:r>
        <w:rPr>
          <w:rFonts w:cs="Times New Roman" w:ascii="Times New Roman" w:hAnsi="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24. Орган местного самоуправления муниципального образования Брянской области предоставляет в департамент сельского хозяйства Брянской области сведения о ходе реализации проектов компактной жилищной застройки по форме и в срок, которые устанавливаются департаментом сельского хозяйства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25. Ответственность за достоверность представляемых департаменту сельского хозяйства Брянской области сведений (документов) и соблюдение условий предоставления субсидий возлагается на органы местного самоуправления муниципальных образований Брянской области.</w:t>
      </w:r>
    </w:p>
    <w:p>
      <w:pPr>
        <w:pStyle w:val="Normal"/>
        <w:widowControl/>
        <w:bidi w:val="0"/>
        <w:spacing w:lineRule="auto" w:line="276" w:before="0" w:after="200"/>
        <w:jc w:val="left"/>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05b16"/>
    <w:pPr>
      <w:widowControl/>
      <w:bidi w:val="0"/>
      <w:spacing w:lineRule="auto" w:line="276" w:before="0" w:after="200"/>
      <w:jc w:val="left"/>
    </w:pPr>
    <w:rPr>
      <w:rFonts w:eastAsia="" w:eastAsiaTheme="minorEastAsia" w:ascii="Calibri" w:hAnsi="Calibri" w:cs=""/>
      <w:color w:val="auto"/>
      <w:kern w:val="0"/>
      <w:sz w:val="22"/>
      <w:szCs w:val="22"/>
      <w:lang w:eastAsia="ru-RU" w:val="ru-RU" w:bidi="ar-SA"/>
    </w:rPr>
  </w:style>
  <w:style w:type="paragraph" w:styleId="1">
    <w:name w:val="Heading 1"/>
    <w:basedOn w:val="Normal"/>
    <w:next w:val="Normal"/>
    <w:link w:val="10"/>
    <w:qFormat/>
    <w:rsid w:val="00bd5a58"/>
    <w:pPr>
      <w:keepNext w:val="true"/>
      <w:spacing w:lineRule="auto" w:line="240" w:before="0" w:after="0"/>
      <w:jc w:val="both"/>
      <w:outlineLvl w:val="0"/>
    </w:pPr>
    <w:rPr>
      <w:rFonts w:ascii="Times New Roman" w:hAnsi="Times New Roman" w:eastAsia="Times New Roman" w:cs="Times New Roman"/>
      <w:sz w:val="28"/>
      <w:szCs w:val="24"/>
    </w:rPr>
  </w:style>
  <w:style w:type="character" w:styleId="DefaultParagraphFont" w:default="1">
    <w:name w:val="Default Paragraph Font"/>
    <w:uiPriority w:val="1"/>
    <w:semiHidden/>
    <w:unhideWhenUsed/>
    <w:qFormat/>
    <w:rPr/>
  </w:style>
  <w:style w:type="character" w:styleId="ConsPlusNormal" w:customStyle="1">
    <w:name w:val="ConsPlusNormal Знак"/>
    <w:link w:val="ConsPlusNormal"/>
    <w:qFormat/>
    <w:locked/>
    <w:rsid w:val="00e05b16"/>
    <w:rPr>
      <w:rFonts w:ascii="Calibri" w:hAnsi="Calibri" w:eastAsia="Times New Roman" w:cs="Calibri"/>
      <w:szCs w:val="20"/>
      <w:lang w:eastAsia="ru-RU"/>
    </w:rPr>
  </w:style>
  <w:style w:type="character" w:styleId="Style13" w:customStyle="1">
    <w:name w:val="Текст выноски Знак"/>
    <w:basedOn w:val="DefaultParagraphFont"/>
    <w:link w:val="a3"/>
    <w:uiPriority w:val="99"/>
    <w:semiHidden/>
    <w:qFormat/>
    <w:rsid w:val="00744fda"/>
    <w:rPr>
      <w:rFonts w:ascii="Tahoma" w:hAnsi="Tahoma" w:eastAsia="" w:cs="Tahoma" w:eastAsiaTheme="minorEastAsia"/>
      <w:sz w:val="16"/>
      <w:szCs w:val="16"/>
      <w:lang w:eastAsia="ru-RU"/>
    </w:rPr>
  </w:style>
  <w:style w:type="character" w:styleId="11" w:customStyle="1">
    <w:name w:val="Заголовок 1 Знак"/>
    <w:basedOn w:val="DefaultParagraphFont"/>
    <w:link w:val="1"/>
    <w:qFormat/>
    <w:rsid w:val="00bd5a58"/>
    <w:rPr>
      <w:rFonts w:ascii="Times New Roman" w:hAnsi="Times New Roman" w:eastAsia="Times New Roman" w:cs="Times New Roman"/>
      <w:sz w:val="28"/>
      <w:szCs w:val="24"/>
      <w:lang w:eastAsia="ru-RU"/>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ConsPlusNormal1" w:customStyle="1">
    <w:name w:val="ConsPlusNormal"/>
    <w:link w:val="ConsPlusNormal0"/>
    <w:qFormat/>
    <w:rsid w:val="00e05b16"/>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 w:customStyle="1">
    <w:name w:val="ConsPlusTitle"/>
    <w:qFormat/>
    <w:rsid w:val="00e05b16"/>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BalloonText">
    <w:name w:val="Balloon Text"/>
    <w:basedOn w:val="Normal"/>
    <w:link w:val="a4"/>
    <w:uiPriority w:val="99"/>
    <w:semiHidden/>
    <w:unhideWhenUsed/>
    <w:qFormat/>
    <w:rsid w:val="00744fd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A50A344230FE33EC20D92D0EDF45C5F177CFCCF372649F517464E791C9CCC671507E5652805701CD3D495BAAE5594617B891667A45DCAA159A6C0911o9N" TargetMode="External"/><Relationship Id="rId3" Type="http://schemas.openxmlformats.org/officeDocument/2006/relationships/image" Target="media/image1.wmf"/><Relationship Id="rId4" Type="http://schemas.openxmlformats.org/officeDocument/2006/relationships/hyperlink" Target="consultantplus://offline/ref=A50A344230FE33EC20D92D0EDF45C5F177CFCCF3726798507064E791C9CCC671507E5652805701CD3D485FAEE5594617B891667A45DCAA159A6C0911o9N" TargetMode="External"/><Relationship Id="rId5" Type="http://schemas.openxmlformats.org/officeDocument/2006/relationships/hyperlink" Target="consultantplus://offline/ref=A50A344230FE33EC20D92D0EDF45C5F177CFCCF372649F517464E791C9CCC671507E5652805701CD3D485BADE5594617B891667A45DCAA159A6C0911o9N" TargetMode="External"/><Relationship Id="rId6" Type="http://schemas.openxmlformats.org/officeDocument/2006/relationships/hyperlink" Target="consultantplus://offline/ref=A50A344230FE33EC20D92D0EDF45C5F177CFCCF372649F517464E791C9CCC671507E5652805701CD3D485AADE5594617B891667A45DCAA159A6C0911o9N" TargetMode="External"/><Relationship Id="rId7" Type="http://schemas.openxmlformats.org/officeDocument/2006/relationships/hyperlink" Target="consultantplus://offline/ref=A50A344230FE33EC20D92D0EDF45C5F177CFCCF372649F517464E791C9CCC671507E5652805701CD3D4859A8E5594617B891667A45DCAA159A6C0911o9N" TargetMode="External"/><Relationship Id="rId8" Type="http://schemas.openxmlformats.org/officeDocument/2006/relationships/hyperlink" Target="consultantplus://offline/ref=A50A344230FE33EC20D92D0EDF45C5F177CFCCF372649F517464E791C9CCC671507E5652805701CD3D495BA9E5594617B891667A45DCAA159A6C0911o9N" TargetMode="External"/><Relationship Id="rId9" Type="http://schemas.openxmlformats.org/officeDocument/2006/relationships/hyperlink" Target="consultantplus://offline/ref=A50A344230FE33EC20D92D0EDF45C5F177CFCCF372649F517464E791C9CCC671507E5652805701CD3D4858AFE5594617B891667A45DCAA159A6C0911o9N" TargetMode="External"/><Relationship Id="rId10" Type="http://schemas.openxmlformats.org/officeDocument/2006/relationships/hyperlink" Target="consultantplus://offline/ref=A50A344230FE33EC20D92D0EDF45C5F177CFCCF372649F517464E791C9CCC671507E5652805701CD3D485BADE5594617B891667A45DCAA159A6C0911o9N" TargetMode="External"/><Relationship Id="rId11" Type="http://schemas.openxmlformats.org/officeDocument/2006/relationships/hyperlink" Target="consultantplus://offline/ref=A50A344230FE33EC20D92D0EDF45C5F177CFCCF372649F517464E791C9CCC671507E5652805701CD3D495BA9E5594617B891667A45DCAA159A6C0911o9N" TargetMode="External"/><Relationship Id="rId12" Type="http://schemas.openxmlformats.org/officeDocument/2006/relationships/hyperlink" Target="consultantplus://offline/ref=A50A344230FE33EC20D92D0EDF45C5F177CFCCF372649F517464E791C9CCC671507E5652805701CD3D485AADE5594617B891667A45DCAA159A6C0911o9N" TargetMode="External"/><Relationship Id="rId13" Type="http://schemas.openxmlformats.org/officeDocument/2006/relationships/hyperlink" Target="consultantplus://offline/ref=A50A344230FE33EC20D92D0EDF45C5F177CFCCF372649F517464E791C9CCC671507E5652805701CD3D4859ADE5594617B891667A45DCAA159A6C0911o9N" TargetMode="External"/><Relationship Id="rId14" Type="http://schemas.openxmlformats.org/officeDocument/2006/relationships/hyperlink" Target="consultantplus://offline/ref=A50A344230FE33EC20D92D0EDF45C5F177CFCCF372649F517464E791C9CCC671507E5652805701CD3D4859A3E5594617B891667A45DCAA159A6C0911o9N" TargetMode="Externa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LibreOffice/7.0.1.2$Windows_X86_64 LibreOffice_project/7cbcfc562f6eb6708b5ff7d7397325de9e764452</Application>
  <Pages>7</Pages>
  <Words>1848</Words>
  <Characters>14699</Characters>
  <CharactersWithSpaces>16567</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2021-10-25T11:09:00Z</dcterms:created>
  <dc:creator>user</dc:creator>
  <dc:description/>
  <dc:language>ru-RU</dc:language>
  <cp:lastModifiedBy>user</cp:lastModifiedBy>
  <cp:lastPrinted>2020-12-16T13:33:00Z</cp:lastPrinted>
  <dcterms:modified xsi:type="dcterms:W3CDTF">2021-10-25T11:09:00Z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